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0B3" w14:textId="77777777" w:rsidR="00EB7FCE" w:rsidRPr="009814C7" w:rsidRDefault="00EB7FCE">
      <w:pPr>
        <w:pStyle w:val="BodyText"/>
        <w:rPr>
          <w:b w:val="0"/>
          <w:sz w:val="20"/>
          <w:lang w:val="en-US"/>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CB19A3" w:rsidRDefault="00C67993" w:rsidP="00C67993">
      <w:pPr>
        <w:ind w:right="567"/>
        <w:jc w:val="center"/>
        <w:rPr>
          <w:rFonts w:ascii="Calibri" w:hAnsi="Calibri" w:cs="Arial"/>
          <w:b/>
          <w:sz w:val="28"/>
          <w:szCs w:val="28"/>
        </w:rPr>
      </w:pPr>
      <w:r w:rsidRPr="00CB19A3">
        <w:rPr>
          <w:rFonts w:ascii="Calibri" w:hAnsi="Calibri" w:cs="Arial"/>
          <w:b/>
          <w:sz w:val="28"/>
          <w:szCs w:val="28"/>
        </w:rPr>
        <w:t>ВЪТРЕШНА ИНФОРМАЦИЯ</w:t>
      </w:r>
    </w:p>
    <w:p w14:paraId="77137CF7" w14:textId="2C17F245" w:rsidR="00C67993" w:rsidRPr="00320260" w:rsidRDefault="00C67993" w:rsidP="00C67993">
      <w:pPr>
        <w:ind w:right="567"/>
        <w:jc w:val="center"/>
        <w:rPr>
          <w:rFonts w:ascii="Calibri" w:hAnsi="Calibri" w:cs="Arial"/>
          <w:b/>
          <w:sz w:val="20"/>
          <w:szCs w:val="18"/>
        </w:rPr>
      </w:pPr>
      <w:r w:rsidRPr="00320260">
        <w:rPr>
          <w:rFonts w:ascii="Calibri" w:hAnsi="Calibri" w:cs="Arial"/>
          <w:b/>
          <w:sz w:val="20"/>
          <w:szCs w:val="18"/>
        </w:rPr>
        <w:t xml:space="preserve">относно фактите и обстоятелствата по чл. 7 от Регламент (ЕС) 596/2014 на Европейския парламент и на Съвета от 16 април 2014 г. за </w:t>
      </w:r>
      <w:r>
        <w:rPr>
          <w:rFonts w:ascii="Calibri" w:hAnsi="Calibri" w:cs="Arial"/>
          <w:b/>
          <w:sz w:val="20"/>
          <w:szCs w:val="18"/>
        </w:rPr>
        <w:t>четвърто</w:t>
      </w:r>
      <w:r w:rsidRPr="00320260">
        <w:rPr>
          <w:rFonts w:ascii="Calibri" w:hAnsi="Calibri" w:cs="Arial"/>
          <w:b/>
          <w:sz w:val="20"/>
          <w:szCs w:val="18"/>
        </w:rPr>
        <w:t xml:space="preserve"> </w:t>
      </w:r>
      <w:r>
        <w:rPr>
          <w:rFonts w:ascii="Calibri" w:hAnsi="Calibri" w:cs="Arial"/>
          <w:b/>
          <w:sz w:val="20"/>
          <w:szCs w:val="18"/>
        </w:rPr>
        <w:t>три</w:t>
      </w:r>
      <w:r w:rsidRPr="00320260">
        <w:rPr>
          <w:rFonts w:ascii="Calibri" w:hAnsi="Calibri" w:cs="Arial"/>
          <w:b/>
          <w:sz w:val="20"/>
          <w:szCs w:val="18"/>
        </w:rPr>
        <w:t>месечие на 202</w:t>
      </w:r>
      <w:r w:rsidR="00B6167F" w:rsidRPr="00B6167F">
        <w:rPr>
          <w:rFonts w:ascii="Calibri" w:hAnsi="Calibri" w:cs="Arial"/>
          <w:b/>
          <w:sz w:val="20"/>
          <w:szCs w:val="18"/>
          <w:lang w:val="ru-RU"/>
        </w:rPr>
        <w:t>2</w:t>
      </w:r>
      <w:r w:rsidRPr="00320260">
        <w:rPr>
          <w:rFonts w:ascii="Calibri" w:hAnsi="Calibri" w:cs="Arial"/>
          <w:b/>
          <w:sz w:val="20"/>
          <w:szCs w:val="18"/>
        </w:rPr>
        <w:t xml:space="preserve"> г. на „</w:t>
      </w:r>
      <w:r w:rsidRPr="00C67993">
        <w:rPr>
          <w:rFonts w:ascii="Calibri" w:hAnsi="Calibri" w:cs="Arial"/>
          <w:b/>
          <w:sz w:val="20"/>
          <w:szCs w:val="18"/>
        </w:rPr>
        <w:t>Компас Фонд за Вземания АДСИЦ</w:t>
      </w:r>
      <w:r w:rsidRPr="00320260">
        <w:rPr>
          <w:rFonts w:ascii="Calibri" w:hAnsi="Calibri" w:cs="Arial"/>
          <w:b/>
          <w:sz w:val="20"/>
          <w:szCs w:val="18"/>
        </w:rPr>
        <w:t>“ АДСИЦ</w:t>
      </w:r>
    </w:p>
    <w:p w14:paraId="41ADF988" w14:textId="77777777" w:rsidR="00C67993" w:rsidRPr="00CB19A3" w:rsidRDefault="00C67993" w:rsidP="00C67993">
      <w:pPr>
        <w:ind w:right="567"/>
        <w:rPr>
          <w:rFonts w:ascii="Calibri" w:hAnsi="Calibri" w:cs="Arial"/>
          <w:sz w:val="24"/>
          <w:szCs w:val="28"/>
        </w:rPr>
      </w:pPr>
    </w:p>
    <w:p w14:paraId="4A4A9C2A" w14:textId="1CF3143A"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w:t>
      </w:r>
      <w:r w:rsidRPr="00C67993">
        <w:rPr>
          <w:rFonts w:ascii="Calibri" w:hAnsi="Calibri" w:cs="Arial"/>
          <w:sz w:val="24"/>
          <w:szCs w:val="28"/>
        </w:rPr>
        <w:t>Компас Фонд за Вземания</w:t>
      </w:r>
      <w:r w:rsidRPr="00CB19A3">
        <w:rPr>
          <w:rFonts w:ascii="Calibri" w:hAnsi="Calibri" w:cs="Arial"/>
          <w:sz w:val="24"/>
          <w:szCs w:val="28"/>
        </w:rPr>
        <w:t>“ АДСИЦ  разкрива вътрешна информация по чл.</w:t>
      </w:r>
      <w:r>
        <w:rPr>
          <w:rFonts w:ascii="Calibri" w:hAnsi="Calibri" w:cs="Arial"/>
          <w:sz w:val="24"/>
          <w:szCs w:val="28"/>
        </w:rPr>
        <w:t xml:space="preserve"> </w:t>
      </w:r>
      <w:r w:rsidRPr="00CB19A3">
        <w:rPr>
          <w:rFonts w:ascii="Calibri" w:hAnsi="Calibri" w:cs="Arial"/>
          <w:sz w:val="24"/>
          <w:szCs w:val="28"/>
        </w:rPr>
        <w:t>7 от РЕГЛАМЕНТ (ЕС) № 596/2014 НА ЕВРОПЕЙСКИЯ ПАРЛАМЕНТ И НА СЪВЕТА от 16 април 2014 г</w:t>
      </w:r>
      <w:r>
        <w:rPr>
          <w:rFonts w:ascii="Calibri" w:hAnsi="Calibri" w:cs="Arial"/>
          <w:sz w:val="24"/>
          <w:szCs w:val="28"/>
        </w:rPr>
        <w:t>.</w:t>
      </w:r>
      <w:r w:rsidRPr="00CB19A3">
        <w:rPr>
          <w:rFonts w:ascii="Calibri" w:hAnsi="Calibri" w:cs="Arial"/>
          <w:sz w:val="24"/>
          <w:szCs w:val="28"/>
        </w:rPr>
        <w:t xml:space="preserve"> относно пазарната злоупотреба към Комисия за финансов надзор, </w:t>
      </w:r>
      <w:r>
        <w:rPr>
          <w:rFonts w:ascii="Calibri" w:hAnsi="Calibri" w:cs="Arial"/>
          <w:sz w:val="24"/>
          <w:szCs w:val="28"/>
        </w:rPr>
        <w:t>„</w:t>
      </w:r>
      <w:r w:rsidRPr="00CB19A3">
        <w:rPr>
          <w:rFonts w:ascii="Calibri" w:hAnsi="Calibri" w:cs="Arial"/>
          <w:sz w:val="24"/>
          <w:szCs w:val="28"/>
        </w:rPr>
        <w:t>Българска фондова борса</w:t>
      </w:r>
      <w:r>
        <w:rPr>
          <w:rFonts w:ascii="Calibri" w:hAnsi="Calibri" w:cs="Arial"/>
          <w:sz w:val="24"/>
          <w:szCs w:val="28"/>
        </w:rPr>
        <w:t>“ АД</w:t>
      </w:r>
      <w:r w:rsidRPr="00CB19A3">
        <w:rPr>
          <w:rFonts w:ascii="Calibri" w:hAnsi="Calibri" w:cs="Arial"/>
          <w:sz w:val="24"/>
          <w:szCs w:val="28"/>
        </w:rPr>
        <w:t xml:space="preserve"> и обществено</w:t>
      </w:r>
      <w:r>
        <w:rPr>
          <w:rFonts w:ascii="Calibri" w:hAnsi="Calibri" w:cs="Arial"/>
          <w:sz w:val="24"/>
          <w:szCs w:val="28"/>
        </w:rPr>
        <w:t>стта чрез системите E-Register,</w:t>
      </w:r>
      <w:r w:rsidRPr="00CB19A3">
        <w:rPr>
          <w:rFonts w:ascii="Calibri" w:hAnsi="Calibri" w:cs="Arial"/>
          <w:sz w:val="24"/>
          <w:szCs w:val="28"/>
        </w:rPr>
        <w:t xml:space="preserve"> Extri.bg и медията </w:t>
      </w:r>
      <w:r w:rsidRPr="00C67993">
        <w:rPr>
          <w:rFonts w:ascii="Calibri" w:hAnsi="Calibri" w:cs="Arial"/>
          <w:sz w:val="24"/>
          <w:szCs w:val="28"/>
        </w:rPr>
        <w:t>Инвестор.бг АД</w:t>
      </w:r>
      <w:r w:rsidRPr="00CB19A3">
        <w:rPr>
          <w:rFonts w:ascii="Calibri" w:hAnsi="Calibri" w:cs="Arial"/>
          <w:sz w:val="24"/>
          <w:szCs w:val="28"/>
        </w:rPr>
        <w:t xml:space="preserve">. Публикуваната информация може да бъде открита на сайта на </w:t>
      </w:r>
      <w:r w:rsidRPr="007C7999">
        <w:rPr>
          <w:rFonts w:ascii="Calibri" w:hAnsi="Calibri" w:cs="Arial"/>
          <w:sz w:val="24"/>
          <w:szCs w:val="28"/>
        </w:rPr>
        <w:t>Комисия за финансов надзор</w:t>
      </w:r>
      <w:r w:rsidRPr="00CB19A3">
        <w:rPr>
          <w:rFonts w:ascii="Calibri" w:hAnsi="Calibri" w:cs="Arial"/>
          <w:sz w:val="24"/>
          <w:szCs w:val="28"/>
        </w:rPr>
        <w:t xml:space="preserve"> –</w:t>
      </w:r>
      <w:r>
        <w:rPr>
          <w:rFonts w:ascii="Calibri" w:hAnsi="Calibri" w:cs="Arial"/>
          <w:sz w:val="24"/>
          <w:szCs w:val="28"/>
        </w:rPr>
        <w:t xml:space="preserve"> </w:t>
      </w:r>
      <w:r w:rsidRPr="00251B96">
        <w:rPr>
          <w:rStyle w:val="Hyperlink"/>
          <w:sz w:val="24"/>
          <w:szCs w:val="24"/>
        </w:rPr>
        <w:t>www.fsc.bg,</w:t>
      </w:r>
      <w:r w:rsidRPr="00251B96">
        <w:rPr>
          <w:rFonts w:ascii="Calibri" w:hAnsi="Calibri" w:cs="Arial"/>
          <w:sz w:val="24"/>
          <w:szCs w:val="24"/>
        </w:rPr>
        <w:t xml:space="preserve"> на електронната медия на </w:t>
      </w:r>
      <w:r w:rsidRPr="007C7999">
        <w:rPr>
          <w:rFonts w:ascii="Calibri" w:hAnsi="Calibri" w:cs="Arial"/>
          <w:sz w:val="24"/>
          <w:szCs w:val="24"/>
        </w:rPr>
        <w:t xml:space="preserve">„Българска фондова борса“ АД </w:t>
      </w:r>
      <w:r w:rsidRPr="00251B96">
        <w:rPr>
          <w:rFonts w:ascii="Calibri" w:hAnsi="Calibri" w:cs="Arial"/>
          <w:sz w:val="24"/>
          <w:szCs w:val="24"/>
        </w:rPr>
        <w:t xml:space="preserve">– </w:t>
      </w:r>
      <w:hyperlink r:id="rId7" w:history="1">
        <w:r w:rsidRPr="00BA7B9A">
          <w:rPr>
            <w:rStyle w:val="Hyperlink"/>
            <w:rFonts w:ascii="Calibri" w:hAnsi="Calibri" w:cs="Arial"/>
            <w:sz w:val="24"/>
            <w:szCs w:val="24"/>
          </w:rPr>
          <w:t>www.x3new</w:t>
        </w:r>
        <w:r w:rsidRPr="00BA7B9A">
          <w:rPr>
            <w:rStyle w:val="Hyperlink"/>
            <w:rFonts w:ascii="Calibri" w:hAnsi="Calibri" w:cs="Arial"/>
            <w:sz w:val="24"/>
            <w:szCs w:val="24"/>
            <w:lang w:val="en-US"/>
          </w:rPr>
          <w:t>s</w:t>
        </w:r>
        <w:r w:rsidRPr="00BA7B9A">
          <w:rPr>
            <w:rStyle w:val="Hyperlink"/>
            <w:rFonts w:ascii="Calibri" w:hAnsi="Calibri" w:cs="Arial"/>
            <w:sz w:val="24"/>
            <w:szCs w:val="24"/>
          </w:rPr>
          <w:t>.com</w:t>
        </w:r>
      </w:hyperlink>
      <w:r w:rsidRPr="00251B96">
        <w:rPr>
          <w:rFonts w:ascii="Calibri" w:hAnsi="Calibri" w:cs="Arial"/>
          <w:sz w:val="24"/>
          <w:szCs w:val="24"/>
        </w:rPr>
        <w:t xml:space="preserve">, на </w:t>
      </w:r>
      <w:r>
        <w:rPr>
          <w:rFonts w:ascii="Calibri" w:hAnsi="Calibri" w:cs="Arial"/>
          <w:sz w:val="24"/>
          <w:szCs w:val="24"/>
        </w:rPr>
        <w:t xml:space="preserve">медията – </w:t>
      </w:r>
      <w:hyperlink r:id="rId8" w:history="1">
        <w:r w:rsidRPr="004876AF">
          <w:rPr>
            <w:rStyle w:val="Hyperlink"/>
            <w:rFonts w:cstheme="minorHAnsi"/>
            <w:sz w:val="24"/>
            <w:szCs w:val="24"/>
          </w:rPr>
          <w:t>www.investor.bg</w:t>
        </w:r>
      </w:hyperlink>
      <w:r>
        <w:rPr>
          <w:rStyle w:val="Hyperlink"/>
          <w:rFonts w:cstheme="minorHAnsi"/>
          <w:sz w:val="24"/>
          <w:szCs w:val="24"/>
        </w:rPr>
        <w:t xml:space="preserve"> </w:t>
      </w:r>
      <w:r>
        <w:rPr>
          <w:rFonts w:ascii="Calibri" w:hAnsi="Calibri" w:cs="Arial"/>
          <w:sz w:val="24"/>
          <w:szCs w:val="24"/>
        </w:rPr>
        <w:t>и на сайта на Д</w:t>
      </w:r>
      <w:r w:rsidRPr="00251B96">
        <w:rPr>
          <w:rFonts w:ascii="Calibri" w:hAnsi="Calibri" w:cs="Arial"/>
          <w:sz w:val="24"/>
          <w:szCs w:val="24"/>
        </w:rPr>
        <w:t xml:space="preserve">ружеството </w:t>
      </w:r>
      <w:r w:rsidRPr="00C67993">
        <w:rPr>
          <w:b/>
          <w:color w:val="0000FF" w:themeColor="hyperlink"/>
          <w:sz w:val="24"/>
          <w:szCs w:val="24"/>
          <w:u w:val="single"/>
        </w:rPr>
        <w:t xml:space="preserve"> </w:t>
      </w:r>
      <w:r w:rsidRPr="00914352">
        <w:rPr>
          <w:bCs/>
          <w:color w:val="0000FF" w:themeColor="hyperlink"/>
          <w:sz w:val="24"/>
          <w:szCs w:val="24"/>
          <w:u w:val="single"/>
          <w:lang w:val="en-US"/>
        </w:rPr>
        <w:t>www</w:t>
      </w:r>
      <w:hyperlink r:id="rId9" w:history="1">
        <w:r w:rsidR="00914352" w:rsidRPr="00914352">
          <w:rPr>
            <w:rStyle w:val="Hyperlink"/>
            <w:bCs/>
            <w:sz w:val="24"/>
            <w:szCs w:val="24"/>
            <w:lang w:val="ru-RU"/>
          </w:rPr>
          <w:t>.</w:t>
        </w:r>
        <w:r w:rsidRPr="00914352">
          <w:rPr>
            <w:rStyle w:val="Hyperlink"/>
            <w:bCs/>
            <w:sz w:val="24"/>
            <w:szCs w:val="24"/>
          </w:rPr>
          <w:t>compass-receivables.eu</w:t>
        </w:r>
      </w:hyperlink>
      <w:r w:rsidRPr="00251B96">
        <w:rPr>
          <w:rFonts w:ascii="Calibri" w:hAnsi="Calibri" w:cs="Arial"/>
          <w:sz w:val="24"/>
          <w:szCs w:val="24"/>
        </w:rPr>
        <w:t>.</w:t>
      </w:r>
    </w:p>
    <w:p w14:paraId="2B55D538" w14:textId="77777777" w:rsidR="00C67993" w:rsidRDefault="00C67993" w:rsidP="00C67993">
      <w:pPr>
        <w:ind w:right="567"/>
        <w:jc w:val="both"/>
        <w:rPr>
          <w:rFonts w:ascii="Calibri" w:hAnsi="Calibri" w:cs="Arial"/>
          <w:sz w:val="24"/>
          <w:szCs w:val="28"/>
        </w:rPr>
      </w:pPr>
    </w:p>
    <w:p w14:paraId="16E196A5" w14:textId="77777777"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В съответствие с изискванията на чл.</w:t>
      </w:r>
      <w:r>
        <w:rPr>
          <w:rFonts w:ascii="Calibri" w:hAnsi="Calibri" w:cs="Arial"/>
          <w:sz w:val="24"/>
          <w:szCs w:val="28"/>
        </w:rPr>
        <w:t xml:space="preserve"> </w:t>
      </w:r>
      <w:r w:rsidRPr="00CB19A3">
        <w:rPr>
          <w:rFonts w:ascii="Calibri" w:hAnsi="Calibri" w:cs="Arial"/>
          <w:sz w:val="24"/>
          <w:szCs w:val="28"/>
        </w:rPr>
        <w:t>7 от Регламент (ЕС) 596/2014, Дружеството декларира следното:</w:t>
      </w:r>
    </w:p>
    <w:p w14:paraId="675CEE7D" w14:textId="77777777" w:rsidR="00C67993" w:rsidRPr="00903891" w:rsidRDefault="00C67993" w:rsidP="00C67993">
      <w:pPr>
        <w:spacing w:before="240"/>
        <w:ind w:right="567"/>
        <w:jc w:val="both"/>
        <w:rPr>
          <w:rFonts w:ascii="Calibri" w:hAnsi="Calibri" w:cs="Arial"/>
          <w:b/>
          <w:i/>
          <w:sz w:val="24"/>
          <w:szCs w:val="28"/>
        </w:rPr>
      </w:pPr>
      <w:r w:rsidRPr="00CB19A3">
        <w:rPr>
          <w:rFonts w:ascii="Calibri" w:hAnsi="Calibri" w:cs="Arial"/>
          <w:b/>
          <w:sz w:val="24"/>
          <w:szCs w:val="28"/>
        </w:rPr>
        <w:t xml:space="preserve">1. </w:t>
      </w:r>
      <w:r w:rsidRPr="00903891">
        <w:rPr>
          <w:rFonts w:ascii="Calibri" w:hAnsi="Calibri" w:cs="Arial"/>
          <w:b/>
          <w:i/>
          <w:sz w:val="24"/>
          <w:szCs w:val="28"/>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903891" w:rsidRDefault="00C67993" w:rsidP="00C67993">
      <w:pPr>
        <w:spacing w:before="240"/>
        <w:ind w:right="567"/>
        <w:jc w:val="both"/>
        <w:rPr>
          <w:rFonts w:ascii="Calibri" w:hAnsi="Calibri" w:cs="Arial"/>
          <w:sz w:val="24"/>
          <w:szCs w:val="28"/>
        </w:rPr>
      </w:pPr>
      <w:r w:rsidRPr="00CB19A3">
        <w:rPr>
          <w:rFonts w:ascii="Calibri" w:hAnsi="Calibri" w:cs="Arial"/>
          <w:b/>
          <w:i/>
          <w:sz w:val="24"/>
          <w:szCs w:val="28"/>
        </w:rPr>
        <w:tab/>
      </w:r>
      <w:r w:rsidRPr="00903891">
        <w:rPr>
          <w:rFonts w:ascii="Calibri" w:hAnsi="Calibri" w:cs="Arial"/>
          <w:sz w:val="24"/>
          <w:szCs w:val="28"/>
        </w:rPr>
        <w:t>Няма такава информация.</w:t>
      </w:r>
    </w:p>
    <w:p w14:paraId="7CB35866"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2. </w:t>
      </w:r>
      <w:r w:rsidRPr="00903891">
        <w:rPr>
          <w:rFonts w:ascii="Calibri" w:eastAsia="SimSun" w:hAnsi="Calibri" w:cs="Arial"/>
          <w:b/>
          <w:i/>
          <w:sz w:val="24"/>
          <w:szCs w:val="28"/>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eastAsia="SimSun" w:hAnsi="Calibri" w:cs="Arial"/>
          <w:sz w:val="24"/>
          <w:szCs w:val="28"/>
          <w:lang w:eastAsia="zh-CN"/>
        </w:rPr>
        <w:t>Няма такава информация.</w:t>
      </w:r>
    </w:p>
    <w:p w14:paraId="2090CC00"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3. </w:t>
      </w:r>
      <w:r w:rsidRPr="00903891">
        <w:rPr>
          <w:rFonts w:ascii="Calibri" w:eastAsia="SimSun" w:hAnsi="Calibri" w:cs="Arial"/>
          <w:b/>
          <w:i/>
          <w:sz w:val="24"/>
          <w:szCs w:val="28"/>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00F5C654"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4</w:t>
      </w:r>
      <w:r w:rsidRPr="00903891">
        <w:rPr>
          <w:rFonts w:ascii="Calibri" w:eastAsia="SimSun" w:hAnsi="Calibri" w:cs="Arial"/>
          <w:b/>
          <w:i/>
          <w:sz w:val="24"/>
          <w:szCs w:val="28"/>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w:t>
      </w:r>
      <w:r w:rsidRPr="00903891">
        <w:rPr>
          <w:rFonts w:ascii="Calibri" w:eastAsia="SimSun" w:hAnsi="Calibri" w:cs="Arial"/>
          <w:b/>
          <w:i/>
          <w:sz w:val="24"/>
          <w:szCs w:val="28"/>
          <w:lang w:eastAsia="zh-CN"/>
        </w:rPr>
        <w:lastRenderedPageBreak/>
        <w:t>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234581E9" w:rsidR="00C67993" w:rsidRDefault="00C67993" w:rsidP="00C67993">
      <w:pPr>
        <w:spacing w:before="240"/>
        <w:ind w:right="567" w:firstLine="720"/>
        <w:jc w:val="both"/>
        <w:rPr>
          <w:rFonts w:ascii="Calibri" w:hAnsi="Calibri" w:cs="Arial"/>
          <w:sz w:val="24"/>
          <w:szCs w:val="28"/>
        </w:rPr>
      </w:pPr>
      <w:r w:rsidRPr="00903891">
        <w:rPr>
          <w:rFonts w:ascii="Calibri" w:hAnsi="Calibri" w:cs="Arial"/>
          <w:sz w:val="24"/>
          <w:szCs w:val="28"/>
        </w:rPr>
        <w:t>Няма такава информация.</w:t>
      </w:r>
    </w:p>
    <w:p w14:paraId="35CFC18D" w14:textId="23916DC4" w:rsidR="009814C7" w:rsidRDefault="009814C7" w:rsidP="009814C7">
      <w:pPr>
        <w:spacing w:before="240"/>
        <w:ind w:right="567"/>
        <w:jc w:val="both"/>
        <w:rPr>
          <w:rFonts w:ascii="Calibri" w:eastAsia="SimSun" w:hAnsi="Calibri" w:cs="Arial"/>
          <w:b/>
          <w:bCs/>
          <w:sz w:val="24"/>
          <w:szCs w:val="28"/>
          <w:lang w:eastAsia="zh-CN"/>
        </w:rPr>
      </w:pPr>
      <w:r w:rsidRPr="009814C7">
        <w:rPr>
          <w:rFonts w:ascii="Calibri" w:eastAsia="SimSun" w:hAnsi="Calibri" w:cs="Arial"/>
          <w:b/>
          <w:bCs/>
          <w:sz w:val="24"/>
          <w:szCs w:val="28"/>
          <w:lang w:val="ru-RU" w:eastAsia="zh-CN"/>
        </w:rPr>
        <w:t xml:space="preserve">- </w:t>
      </w:r>
      <w:r w:rsidRPr="009814C7">
        <w:rPr>
          <w:rFonts w:ascii="Calibri" w:eastAsia="SimSun" w:hAnsi="Calibri" w:cs="Arial"/>
          <w:b/>
          <w:bCs/>
          <w:sz w:val="24"/>
          <w:szCs w:val="28"/>
          <w:lang w:eastAsia="zh-CN"/>
        </w:rPr>
        <w:t>На 25.10.2022г. “Компас Фонд за вземания“ АДСИЦ е получило Уведомление по чл. 145 от ЗППЦК за разкриване на дялово участие в публично дружество от „Компас Капитал“ АД. Със същото  дружеството е уведомено, че вследствие на разпореждане  с акции от “Компас Фонд за вземания“ АДСИЦ, дяловото участие на „Компас Капитал“ АД се е променило от 20,13% на 11,23 %.</w:t>
      </w:r>
    </w:p>
    <w:p w14:paraId="3F4A56B9" w14:textId="550FEE4C" w:rsidR="009814C7" w:rsidRPr="009814C7" w:rsidRDefault="009814C7" w:rsidP="009814C7">
      <w:pPr>
        <w:spacing w:before="240"/>
        <w:ind w:right="567"/>
        <w:jc w:val="both"/>
        <w:rPr>
          <w:rFonts w:ascii="Calibri" w:eastAsia="SimSun" w:hAnsi="Calibri" w:cs="Arial"/>
          <w:b/>
          <w:bCs/>
          <w:sz w:val="24"/>
          <w:szCs w:val="28"/>
          <w:lang w:eastAsia="zh-CN"/>
        </w:rPr>
      </w:pPr>
      <w:r w:rsidRPr="009814C7">
        <w:rPr>
          <w:rFonts w:ascii="Calibri" w:eastAsia="SimSun" w:hAnsi="Calibri" w:cs="Arial"/>
          <w:b/>
          <w:bCs/>
          <w:sz w:val="24"/>
          <w:szCs w:val="28"/>
          <w:lang w:val="ru-RU" w:eastAsia="zh-CN"/>
        </w:rPr>
        <w:t xml:space="preserve">- </w:t>
      </w:r>
      <w:r w:rsidRPr="009814C7">
        <w:rPr>
          <w:rFonts w:ascii="Calibri" w:eastAsia="SimSun" w:hAnsi="Calibri" w:cs="Arial"/>
          <w:b/>
          <w:bCs/>
          <w:sz w:val="24"/>
          <w:szCs w:val="28"/>
          <w:lang w:eastAsia="zh-CN"/>
        </w:rPr>
        <w:t>На 27.10.2022г. “Компас Фонд за вземания“ АДСИЦ е получило Уведомление по чл. 145 от ЗППЦК за разкриване на дялово участие в публично дружество от УД Тренд Асет Мениджмънт АД. Със същото  дружеството е уведомено, че вследствие на придобиване на акции от “Компас Фонд за вземания“ АДСИЦ дяловото участие на:</w:t>
      </w:r>
    </w:p>
    <w:p w14:paraId="3CBE5C6B" w14:textId="77777777" w:rsidR="009814C7" w:rsidRPr="009814C7" w:rsidRDefault="009814C7" w:rsidP="009814C7">
      <w:pPr>
        <w:spacing w:before="240"/>
        <w:ind w:right="567"/>
        <w:jc w:val="both"/>
        <w:rPr>
          <w:rFonts w:ascii="Calibri" w:eastAsia="SimSun" w:hAnsi="Calibri" w:cs="Arial"/>
          <w:b/>
          <w:bCs/>
          <w:sz w:val="24"/>
          <w:szCs w:val="28"/>
          <w:lang w:eastAsia="zh-CN"/>
        </w:rPr>
      </w:pPr>
      <w:r w:rsidRPr="009814C7">
        <w:rPr>
          <w:rFonts w:ascii="Calibri" w:eastAsia="SimSun" w:hAnsi="Calibri" w:cs="Arial"/>
          <w:b/>
          <w:bCs/>
          <w:sz w:val="24"/>
          <w:szCs w:val="28"/>
          <w:lang w:eastAsia="zh-CN"/>
        </w:rPr>
        <w:t xml:space="preserve">ДФ Тренд Балансиран Фонд е в размер на 100 000 броя акции, представляващо 6,67% от капитала на </w:t>
      </w:r>
      <w:bookmarkStart w:id="0" w:name="_Hlk125548805"/>
      <w:r w:rsidRPr="009814C7">
        <w:rPr>
          <w:rFonts w:ascii="Calibri" w:eastAsia="SimSun" w:hAnsi="Calibri" w:cs="Arial"/>
          <w:b/>
          <w:bCs/>
          <w:sz w:val="24"/>
          <w:szCs w:val="28"/>
          <w:lang w:eastAsia="zh-CN"/>
        </w:rPr>
        <w:t xml:space="preserve">“Компас Фонд за вземания“ </w:t>
      </w:r>
      <w:bookmarkEnd w:id="0"/>
      <w:r w:rsidRPr="009814C7">
        <w:rPr>
          <w:rFonts w:ascii="Calibri" w:eastAsia="SimSun" w:hAnsi="Calibri" w:cs="Arial"/>
          <w:b/>
          <w:bCs/>
          <w:sz w:val="24"/>
          <w:szCs w:val="28"/>
          <w:lang w:eastAsia="zh-CN"/>
        </w:rPr>
        <w:t>АДСИЦ;</w:t>
      </w:r>
    </w:p>
    <w:p w14:paraId="6DEC48F0" w14:textId="5F35B099" w:rsidR="009814C7" w:rsidRDefault="009814C7" w:rsidP="009814C7">
      <w:pPr>
        <w:spacing w:before="240"/>
        <w:ind w:right="567"/>
        <w:jc w:val="both"/>
        <w:rPr>
          <w:rFonts w:ascii="Calibri" w:eastAsia="SimSun" w:hAnsi="Calibri" w:cs="Arial"/>
          <w:b/>
          <w:bCs/>
          <w:sz w:val="24"/>
          <w:szCs w:val="28"/>
          <w:lang w:eastAsia="zh-CN"/>
        </w:rPr>
      </w:pPr>
      <w:r w:rsidRPr="009814C7">
        <w:rPr>
          <w:rFonts w:ascii="Calibri" w:eastAsia="SimSun" w:hAnsi="Calibri" w:cs="Arial"/>
          <w:b/>
          <w:bCs/>
          <w:sz w:val="24"/>
          <w:szCs w:val="28"/>
          <w:lang w:eastAsia="zh-CN"/>
        </w:rPr>
        <w:t>ДФ Тренд  Фонд Акции е в размер на 183 660 броя акции, представляващо 12,24% от капитала на “Компас Фонд за вземания“ АДСИЦ;</w:t>
      </w:r>
    </w:p>
    <w:p w14:paraId="399F38EB" w14:textId="5FAC2494" w:rsidR="009814C7" w:rsidRDefault="009814C7" w:rsidP="009814C7">
      <w:pPr>
        <w:spacing w:before="240"/>
        <w:ind w:right="567"/>
        <w:jc w:val="both"/>
        <w:rPr>
          <w:rFonts w:ascii="Calibri" w:eastAsia="SimSun" w:hAnsi="Calibri" w:cs="Arial"/>
          <w:b/>
          <w:bCs/>
          <w:sz w:val="24"/>
          <w:szCs w:val="28"/>
          <w:lang w:eastAsia="zh-CN"/>
        </w:rPr>
      </w:pPr>
      <w:r w:rsidRPr="009814C7">
        <w:rPr>
          <w:rFonts w:ascii="Calibri" w:eastAsia="SimSun" w:hAnsi="Calibri" w:cs="Arial"/>
          <w:b/>
          <w:bCs/>
          <w:sz w:val="24"/>
          <w:szCs w:val="28"/>
          <w:lang w:eastAsia="zh-CN"/>
        </w:rPr>
        <w:t>Непрякото дялово участие на УД Тренд Асет Мениджмънт АД  в капитала на “Компас Фонд за вземания“ АДСИЦ е  18,91%.</w:t>
      </w:r>
    </w:p>
    <w:p w14:paraId="6A04202D" w14:textId="7EBDD4DC" w:rsidR="009814C7" w:rsidRDefault="009814C7" w:rsidP="009814C7">
      <w:pPr>
        <w:spacing w:before="240"/>
        <w:ind w:right="567"/>
        <w:jc w:val="both"/>
        <w:rPr>
          <w:rFonts w:ascii="Calibri" w:eastAsia="SimSun" w:hAnsi="Calibri" w:cs="Arial"/>
          <w:b/>
          <w:bCs/>
          <w:sz w:val="24"/>
          <w:szCs w:val="28"/>
          <w:lang w:eastAsia="zh-CN"/>
        </w:rPr>
      </w:pPr>
      <w:r>
        <w:rPr>
          <w:rFonts w:ascii="Calibri" w:eastAsia="SimSun" w:hAnsi="Calibri" w:cs="Arial"/>
          <w:b/>
          <w:bCs/>
          <w:sz w:val="24"/>
          <w:szCs w:val="28"/>
          <w:lang w:eastAsia="zh-CN"/>
        </w:rPr>
        <w:t>-</w:t>
      </w:r>
      <w:r w:rsidRPr="009814C7">
        <w:rPr>
          <w:rFonts w:ascii="Calibri" w:eastAsia="SimSun" w:hAnsi="Calibri" w:cs="Arial"/>
          <w:b/>
          <w:bCs/>
          <w:sz w:val="24"/>
          <w:szCs w:val="28"/>
          <w:lang w:eastAsia="zh-CN"/>
        </w:rPr>
        <w:t xml:space="preserve">На </w:t>
      </w:r>
      <w:r>
        <w:rPr>
          <w:rFonts w:ascii="Calibri" w:eastAsia="SimSun" w:hAnsi="Calibri" w:cs="Arial"/>
          <w:b/>
          <w:bCs/>
          <w:sz w:val="24"/>
          <w:szCs w:val="28"/>
          <w:lang w:eastAsia="zh-CN"/>
        </w:rPr>
        <w:t xml:space="preserve">27.10.2022 г. </w:t>
      </w:r>
      <w:r w:rsidRPr="009814C7">
        <w:rPr>
          <w:rFonts w:ascii="Calibri" w:eastAsia="SimSun" w:hAnsi="Calibri" w:cs="Arial"/>
          <w:b/>
          <w:bCs/>
          <w:sz w:val="24"/>
          <w:szCs w:val="28"/>
          <w:lang w:eastAsia="zh-CN"/>
        </w:rPr>
        <w:t>“Компас Фонд за вземания“  АДСИЦ   представи тримесечен финансов отчет към 30.09.2022г. на БФБ-София и КФН.</w:t>
      </w:r>
    </w:p>
    <w:p w14:paraId="539BED23" w14:textId="0B07FFE0" w:rsidR="009814C7" w:rsidRDefault="009814C7" w:rsidP="009814C7">
      <w:pPr>
        <w:spacing w:before="240"/>
        <w:ind w:right="567"/>
        <w:jc w:val="both"/>
        <w:rPr>
          <w:rFonts w:ascii="Calibri" w:eastAsia="SimSun" w:hAnsi="Calibri" w:cs="Arial"/>
          <w:b/>
          <w:bCs/>
          <w:sz w:val="24"/>
          <w:szCs w:val="28"/>
          <w:lang w:eastAsia="zh-CN"/>
        </w:rPr>
      </w:pPr>
      <w:r>
        <w:rPr>
          <w:rFonts w:ascii="Calibri" w:eastAsia="SimSun" w:hAnsi="Calibri" w:cs="Arial"/>
          <w:b/>
          <w:bCs/>
          <w:sz w:val="24"/>
          <w:szCs w:val="28"/>
          <w:lang w:eastAsia="zh-CN"/>
        </w:rPr>
        <w:t xml:space="preserve">-На </w:t>
      </w:r>
      <w:r w:rsidRPr="009814C7">
        <w:rPr>
          <w:rFonts w:ascii="Calibri" w:eastAsia="SimSun" w:hAnsi="Calibri" w:cs="Arial"/>
          <w:b/>
          <w:bCs/>
          <w:sz w:val="24"/>
          <w:szCs w:val="28"/>
          <w:lang w:eastAsia="zh-CN"/>
        </w:rPr>
        <w:t>09.11.2022г.„Компас Фонд за Вземания“ АДСИЦ публикува Уведомление относно вътрешна информация по смисъла на чл. 17 от Регламент (ЕС) 596/2014г.</w:t>
      </w:r>
      <w:r>
        <w:rPr>
          <w:rFonts w:ascii="Calibri" w:eastAsia="SimSun" w:hAnsi="Calibri" w:cs="Arial"/>
          <w:b/>
          <w:bCs/>
          <w:sz w:val="24"/>
          <w:szCs w:val="28"/>
          <w:lang w:eastAsia="zh-CN"/>
        </w:rPr>
        <w:t xml:space="preserve">: </w:t>
      </w:r>
    </w:p>
    <w:p w14:paraId="24F9668A" w14:textId="77777777" w:rsidR="009814C7" w:rsidRPr="00D51AE1" w:rsidRDefault="009814C7" w:rsidP="009814C7">
      <w:pPr>
        <w:rPr>
          <w:rFonts w:ascii="Verdana" w:hAnsi="Verdana"/>
          <w:sz w:val="20"/>
          <w:szCs w:val="20"/>
          <w:lang w:val="ru-RU"/>
        </w:rPr>
      </w:pPr>
      <w:bookmarkStart w:id="1" w:name="_Hlk117582537"/>
      <w:r w:rsidRPr="00D51AE1">
        <w:rPr>
          <w:rFonts w:ascii="Verdana" w:hAnsi="Verdana"/>
          <w:sz w:val="20"/>
          <w:szCs w:val="20"/>
          <w:lang w:val="ru-RU"/>
        </w:rPr>
        <w:t>На основание чл. 17, т. 1 от Регламент (ЕС) 596/2014 г. Ви уведомявам</w:t>
      </w:r>
      <w:r>
        <w:rPr>
          <w:rFonts w:ascii="Verdana" w:hAnsi="Verdana"/>
          <w:sz w:val="20"/>
          <w:szCs w:val="20"/>
          <w:lang w:val="ru-RU"/>
        </w:rPr>
        <w:t>е</w:t>
      </w:r>
      <w:r w:rsidRPr="00D51AE1">
        <w:rPr>
          <w:rFonts w:ascii="Verdana" w:hAnsi="Verdana"/>
          <w:sz w:val="20"/>
          <w:szCs w:val="20"/>
          <w:lang w:val="ru-RU"/>
        </w:rPr>
        <w:t>, за следното:</w:t>
      </w:r>
    </w:p>
    <w:p w14:paraId="0EDF70F6" w14:textId="77777777" w:rsidR="009814C7" w:rsidRPr="00D51AE1" w:rsidRDefault="009814C7" w:rsidP="009814C7">
      <w:pPr>
        <w:rPr>
          <w:rFonts w:ascii="Verdana" w:hAnsi="Verdana"/>
          <w:sz w:val="20"/>
          <w:szCs w:val="20"/>
          <w:lang w:val="ru-RU"/>
        </w:rPr>
      </w:pPr>
      <w:r w:rsidRPr="00D51AE1">
        <w:rPr>
          <w:rFonts w:ascii="Verdana" w:hAnsi="Verdana"/>
          <w:sz w:val="20"/>
          <w:szCs w:val="20"/>
          <w:lang w:val="ru-RU"/>
        </w:rPr>
        <w:t>„Компас Фонд за вземания“ АДСИЦ подписа договор за покупка на вземане на стойност</w:t>
      </w:r>
    </w:p>
    <w:p w14:paraId="2CFD4304" w14:textId="77777777" w:rsidR="009814C7" w:rsidRPr="00D51AE1" w:rsidRDefault="009814C7" w:rsidP="009814C7">
      <w:pPr>
        <w:rPr>
          <w:rFonts w:ascii="Verdana" w:hAnsi="Verdana"/>
          <w:sz w:val="20"/>
          <w:szCs w:val="20"/>
          <w:lang w:val="ru-RU"/>
        </w:rPr>
      </w:pPr>
      <w:r w:rsidRPr="00D51AE1">
        <w:rPr>
          <w:rFonts w:ascii="Verdana" w:hAnsi="Verdana"/>
          <w:sz w:val="20"/>
          <w:szCs w:val="20"/>
          <w:lang w:val="ru-RU"/>
        </w:rPr>
        <w:t>535 000.00 лева съгласно договор за цесия с „Блексий Ритейл Инвест“ АД,  ЕИК 203174990.</w:t>
      </w:r>
    </w:p>
    <w:bookmarkEnd w:id="1"/>
    <w:p w14:paraId="4CEFD8DE" w14:textId="5EAE8F81" w:rsidR="009814C7" w:rsidRPr="009814C7" w:rsidRDefault="009814C7" w:rsidP="009814C7">
      <w:pPr>
        <w:spacing w:before="240"/>
        <w:ind w:right="567"/>
        <w:jc w:val="both"/>
        <w:rPr>
          <w:rFonts w:ascii="Calibri" w:eastAsia="SimSun" w:hAnsi="Calibri" w:cs="Arial"/>
          <w:b/>
          <w:bCs/>
          <w:sz w:val="24"/>
          <w:szCs w:val="28"/>
          <w:lang w:val="ru-RU" w:eastAsia="zh-CN"/>
        </w:rPr>
      </w:pPr>
      <w:r>
        <w:rPr>
          <w:rFonts w:ascii="Calibri" w:eastAsia="SimSun" w:hAnsi="Calibri" w:cs="Arial"/>
          <w:b/>
          <w:bCs/>
          <w:sz w:val="24"/>
          <w:szCs w:val="28"/>
          <w:lang w:val="ru-RU" w:eastAsia="zh-CN"/>
        </w:rPr>
        <w:t>-</w:t>
      </w:r>
      <w:r w:rsidRPr="009814C7">
        <w:t xml:space="preserve"> </w:t>
      </w:r>
      <w:r w:rsidRPr="009814C7">
        <w:rPr>
          <w:rFonts w:ascii="Calibri" w:eastAsia="SimSun" w:hAnsi="Calibri" w:cs="Arial"/>
          <w:b/>
          <w:bCs/>
          <w:sz w:val="24"/>
          <w:szCs w:val="28"/>
          <w:lang w:val="ru-RU" w:eastAsia="zh-CN"/>
        </w:rPr>
        <w:t>Поради установена допусната техническа грешка при подаване на заявлението за обявяване на Устава от 25.03.2022 г.,  на 06.12.2022 г. беше заявен в търговския регистър актуалния текст на Устава на Дружеството. Същият е обявен в ТРРЮЛНЦ на 12.12.2022 г. с вписване № 20221212123556.</w:t>
      </w:r>
    </w:p>
    <w:p w14:paraId="21A1257C" w14:textId="77777777" w:rsidR="00C67993" w:rsidRDefault="00C67993" w:rsidP="00C67993">
      <w:pPr>
        <w:ind w:left="180"/>
        <w:jc w:val="both"/>
        <w:rPr>
          <w:rFonts w:ascii="Calibri" w:eastAsia="SimSun" w:hAnsi="Calibri" w:cs="Arial"/>
          <w:i/>
          <w:sz w:val="24"/>
          <w:szCs w:val="28"/>
          <w:lang w:eastAsia="zh-CN"/>
        </w:rPr>
      </w:pPr>
    </w:p>
    <w:p w14:paraId="3E27C80F" w14:textId="77777777" w:rsidR="00C67993" w:rsidRDefault="00C67993" w:rsidP="00C67993">
      <w:pPr>
        <w:ind w:left="180"/>
        <w:jc w:val="both"/>
        <w:rPr>
          <w:rFonts w:ascii="Calibri" w:eastAsia="SimSun" w:hAnsi="Calibri" w:cs="Arial"/>
          <w:i/>
          <w:sz w:val="24"/>
          <w:szCs w:val="28"/>
          <w:lang w:eastAsia="zh-CN"/>
        </w:rPr>
      </w:pPr>
    </w:p>
    <w:p w14:paraId="1732C244" w14:textId="77777777" w:rsidR="00C67993" w:rsidRDefault="00C67993" w:rsidP="00C67993">
      <w:pPr>
        <w:ind w:left="180"/>
        <w:jc w:val="both"/>
        <w:rPr>
          <w:rFonts w:ascii="Calibri" w:eastAsia="SimSun" w:hAnsi="Calibri" w:cs="Arial"/>
          <w:i/>
          <w:sz w:val="24"/>
          <w:szCs w:val="28"/>
          <w:lang w:eastAsia="zh-CN"/>
        </w:rPr>
      </w:pPr>
    </w:p>
    <w:p w14:paraId="115363E0" w14:textId="0E942E35" w:rsidR="00C67993" w:rsidRPr="00C67993" w:rsidRDefault="00C67993" w:rsidP="00C67993">
      <w:pPr>
        <w:ind w:left="180"/>
        <w:jc w:val="both"/>
        <w:rPr>
          <w:rFonts w:ascii="Calibri" w:eastAsia="SimSun" w:hAnsi="Calibri" w:cs="Arial"/>
          <w:b/>
          <w:sz w:val="24"/>
          <w:szCs w:val="28"/>
          <w:lang w:val="ru-RU" w:eastAsia="zh-CN"/>
        </w:rPr>
      </w:pPr>
      <w:r w:rsidRPr="00B308E4">
        <w:rPr>
          <w:rFonts w:ascii="Calibri" w:eastAsia="SimSun" w:hAnsi="Calibri" w:cs="Arial"/>
          <w:b/>
          <w:sz w:val="24"/>
          <w:szCs w:val="28"/>
          <w:lang w:eastAsia="zh-CN"/>
        </w:rPr>
        <w:t>2</w:t>
      </w:r>
      <w:r w:rsidR="00B308E4" w:rsidRPr="00B308E4">
        <w:rPr>
          <w:rFonts w:ascii="Calibri" w:eastAsia="SimSun" w:hAnsi="Calibri" w:cs="Arial"/>
          <w:b/>
          <w:sz w:val="24"/>
          <w:szCs w:val="28"/>
          <w:lang w:eastAsia="zh-CN"/>
        </w:rPr>
        <w:t>4</w:t>
      </w:r>
      <w:r w:rsidRPr="00B308E4">
        <w:rPr>
          <w:rFonts w:ascii="Calibri" w:eastAsia="SimSun" w:hAnsi="Calibri" w:cs="Arial"/>
          <w:b/>
          <w:sz w:val="24"/>
          <w:szCs w:val="28"/>
          <w:lang w:eastAsia="zh-CN"/>
        </w:rPr>
        <w:t>.01</w:t>
      </w:r>
      <w:r w:rsidRPr="00B308E4">
        <w:rPr>
          <w:rFonts w:ascii="Calibri" w:eastAsia="SimSun" w:hAnsi="Calibri" w:cs="Arial"/>
          <w:b/>
          <w:sz w:val="24"/>
          <w:szCs w:val="28"/>
          <w:lang w:val="ru-RU" w:eastAsia="zh-CN"/>
        </w:rPr>
        <w:t>.202</w:t>
      </w:r>
      <w:r w:rsidR="00B6167F" w:rsidRPr="00B308E4">
        <w:rPr>
          <w:rFonts w:ascii="Calibri" w:eastAsia="SimSun" w:hAnsi="Calibri" w:cs="Arial"/>
          <w:b/>
          <w:sz w:val="24"/>
          <w:szCs w:val="28"/>
          <w:lang w:val="ru-RU" w:eastAsia="zh-CN"/>
        </w:rPr>
        <w:t>3</w:t>
      </w:r>
      <w:r w:rsidRPr="00B308E4">
        <w:rPr>
          <w:rFonts w:ascii="Calibri" w:eastAsia="SimSun" w:hAnsi="Calibri" w:cs="Arial"/>
          <w:b/>
          <w:sz w:val="24"/>
          <w:szCs w:val="28"/>
          <w:lang w:val="ru-RU" w:eastAsia="zh-CN"/>
        </w:rPr>
        <w:t xml:space="preserve"> </w:t>
      </w:r>
      <w:r w:rsidRPr="00B308E4">
        <w:rPr>
          <w:rFonts w:ascii="Calibri" w:eastAsia="SimSun" w:hAnsi="Calibri" w:cs="Arial"/>
          <w:b/>
          <w:sz w:val="24"/>
          <w:szCs w:val="28"/>
          <w:lang w:eastAsia="zh-CN"/>
        </w:rPr>
        <w:t>г.</w:t>
      </w:r>
      <w:r>
        <w:rPr>
          <w:rFonts w:ascii="Calibri" w:eastAsia="SimSun" w:hAnsi="Calibri" w:cs="Arial"/>
          <w:b/>
          <w:sz w:val="24"/>
          <w:szCs w:val="28"/>
          <w:lang w:eastAsia="zh-CN"/>
        </w:rPr>
        <w:t xml:space="preserve"> </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Изпълнителен директор: </w:t>
      </w:r>
      <w:r w:rsidR="005F67CF">
        <w:rPr>
          <w:rFonts w:ascii="Calibri" w:eastAsia="SimSun" w:hAnsi="Calibri" w:cs="Arial"/>
          <w:b/>
          <w:sz w:val="24"/>
          <w:szCs w:val="28"/>
          <w:lang w:val="en-US" w:eastAsia="zh-CN"/>
        </w:rPr>
        <w:t xml:space="preserve">  </w:t>
      </w:r>
      <w:r w:rsidRPr="00C67993">
        <w:rPr>
          <w:rFonts w:ascii="Calibri" w:eastAsia="SimSun" w:hAnsi="Calibri" w:cs="Arial"/>
          <w:b/>
          <w:sz w:val="24"/>
          <w:szCs w:val="28"/>
          <w:lang w:val="ru-RU" w:eastAsia="zh-CN"/>
        </w:rPr>
        <w:t>______________________</w:t>
      </w:r>
    </w:p>
    <w:p w14:paraId="472B528E" w14:textId="2571D5C8" w:rsidR="00C67993" w:rsidRPr="00914352" w:rsidRDefault="00C67993" w:rsidP="00C67993">
      <w:pPr>
        <w:ind w:left="180"/>
        <w:jc w:val="both"/>
        <w:rPr>
          <w:rFonts w:ascii="Calibri" w:eastAsia="SimSun" w:hAnsi="Calibri" w:cs="Arial"/>
          <w:b/>
          <w:sz w:val="24"/>
          <w:szCs w:val="28"/>
          <w:lang w:eastAsia="zh-CN"/>
        </w:rPr>
      </w:pPr>
      <w:r>
        <w:rPr>
          <w:rFonts w:ascii="Calibri" w:eastAsia="SimSun" w:hAnsi="Calibri" w:cs="Arial"/>
          <w:b/>
          <w:sz w:val="24"/>
          <w:szCs w:val="28"/>
          <w:lang w:eastAsia="zh-CN"/>
        </w:rPr>
        <w:t>гр. София</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      </w:t>
      </w:r>
      <w:r w:rsidR="00914352">
        <w:rPr>
          <w:rFonts w:ascii="Calibri" w:eastAsia="SimSun" w:hAnsi="Calibri" w:cs="Arial"/>
          <w:b/>
          <w:sz w:val="24"/>
          <w:szCs w:val="28"/>
          <w:lang w:eastAsia="zh-CN"/>
        </w:rPr>
        <w:t>Иван Пирински</w:t>
      </w:r>
    </w:p>
    <w:p w14:paraId="640AE4AE" w14:textId="77777777" w:rsidR="00C67993" w:rsidRPr="00CB19A3" w:rsidRDefault="00C67993" w:rsidP="00C67993">
      <w:pPr>
        <w:jc w:val="both"/>
      </w:pPr>
    </w:p>
    <w:p w14:paraId="2DB4EA46" w14:textId="77777777" w:rsidR="00EB7FCE" w:rsidRPr="00E267F6" w:rsidRDefault="00EB7FCE">
      <w:pPr>
        <w:pStyle w:val="BodyText"/>
        <w:rPr>
          <w:rFonts w:asciiTheme="minorHAnsi" w:hAnsiTheme="minorHAnsi" w:cstheme="minorHAnsi"/>
          <w:b w:val="0"/>
        </w:rPr>
      </w:pPr>
    </w:p>
    <w:p w14:paraId="108C49E9" w14:textId="77777777" w:rsidR="00EB7FCE" w:rsidRPr="00E267F6" w:rsidRDefault="00EB7FCE">
      <w:pPr>
        <w:pStyle w:val="BodyText"/>
        <w:spacing w:before="9"/>
        <w:rPr>
          <w:rFonts w:asciiTheme="minorHAnsi" w:hAnsiTheme="minorHAnsi" w:cstheme="minorHAnsi"/>
          <w:b w:val="0"/>
        </w:rPr>
      </w:pPr>
    </w:p>
    <w:p w14:paraId="7129A893" w14:textId="77777777" w:rsidR="00EB7FCE" w:rsidRPr="00E267F6" w:rsidRDefault="00EB7FCE">
      <w:pPr>
        <w:pStyle w:val="BodyText"/>
        <w:rPr>
          <w:rFonts w:asciiTheme="minorHAnsi" w:hAnsiTheme="minorHAnsi" w:cstheme="minorHAnsi"/>
          <w:b w:val="0"/>
        </w:rPr>
      </w:pPr>
    </w:p>
    <w:p w14:paraId="663506D6" w14:textId="77777777" w:rsidR="00EB7FCE" w:rsidRPr="00E267F6" w:rsidRDefault="00EB7FCE">
      <w:pPr>
        <w:pStyle w:val="BodyText"/>
        <w:rPr>
          <w:rFonts w:asciiTheme="minorHAnsi" w:hAnsiTheme="minorHAnsi" w:cstheme="minorHAnsi"/>
          <w:b w:val="0"/>
        </w:rPr>
      </w:pPr>
    </w:p>
    <w:p w14:paraId="1B542E44" w14:textId="77777777" w:rsidR="00EB7FCE" w:rsidRPr="00E267F6" w:rsidRDefault="00EB7FCE">
      <w:pPr>
        <w:pStyle w:val="BodyText"/>
        <w:rPr>
          <w:rFonts w:asciiTheme="minorHAnsi" w:hAnsiTheme="minorHAnsi" w:cstheme="minorHAnsi"/>
          <w:b w:val="0"/>
        </w:rPr>
      </w:pPr>
    </w:p>
    <w:p w14:paraId="077F971C" w14:textId="77777777" w:rsidR="00EB7FCE" w:rsidRDefault="00EB7FCE">
      <w:pPr>
        <w:pStyle w:val="BodyText"/>
        <w:rPr>
          <w:b w:val="0"/>
          <w:sz w:val="20"/>
        </w:rPr>
      </w:pPr>
    </w:p>
    <w:p w14:paraId="44D4CDAF" w14:textId="77777777" w:rsidR="00EB7FCE" w:rsidRDefault="00EB7FCE">
      <w:pPr>
        <w:pStyle w:val="BodyText"/>
        <w:rPr>
          <w:b w:val="0"/>
          <w:sz w:val="20"/>
        </w:rPr>
      </w:pPr>
    </w:p>
    <w:p w14:paraId="32E39B7A" w14:textId="77777777" w:rsidR="00EB7FCE" w:rsidRDefault="00EB7FCE">
      <w:pPr>
        <w:pStyle w:val="BodyText"/>
        <w:rPr>
          <w:b w:val="0"/>
          <w:sz w:val="20"/>
        </w:rPr>
      </w:pPr>
    </w:p>
    <w:p w14:paraId="60D0562F" w14:textId="77777777" w:rsidR="00EB7FCE" w:rsidRDefault="00EB7FCE">
      <w:pPr>
        <w:pStyle w:val="BodyText"/>
        <w:rPr>
          <w:b w:val="0"/>
          <w:sz w:val="20"/>
        </w:rPr>
      </w:pPr>
    </w:p>
    <w:p w14:paraId="33873220" w14:textId="77777777" w:rsidR="00EB7FCE" w:rsidRDefault="00EB7FCE">
      <w:pPr>
        <w:pStyle w:val="BodyText"/>
        <w:rPr>
          <w:b w:val="0"/>
          <w:sz w:val="20"/>
        </w:rPr>
      </w:pPr>
    </w:p>
    <w:p w14:paraId="649AC26D" w14:textId="77777777" w:rsidR="00EB7FCE" w:rsidRDefault="00EB7FCE">
      <w:pPr>
        <w:pStyle w:val="BodyText"/>
        <w:rPr>
          <w:b w:val="0"/>
          <w:sz w:val="20"/>
        </w:rPr>
      </w:pPr>
    </w:p>
    <w:p w14:paraId="2021B068" w14:textId="77777777" w:rsidR="00EB7FCE" w:rsidRDefault="00EB7FCE">
      <w:pPr>
        <w:pStyle w:val="BodyText"/>
        <w:rPr>
          <w:b w:val="0"/>
          <w:sz w:val="20"/>
        </w:rPr>
      </w:pPr>
    </w:p>
    <w:p w14:paraId="47795355" w14:textId="77777777" w:rsidR="00EB7FCE" w:rsidRDefault="00EB7FCE">
      <w:pPr>
        <w:pStyle w:val="BodyText"/>
        <w:rPr>
          <w:b w:val="0"/>
          <w:sz w:val="20"/>
        </w:rPr>
      </w:pPr>
    </w:p>
    <w:p w14:paraId="147EBDA5" w14:textId="77777777" w:rsidR="00EB7FCE" w:rsidRDefault="00EB7FCE">
      <w:pPr>
        <w:pStyle w:val="BodyText"/>
        <w:rPr>
          <w:b w:val="0"/>
          <w:sz w:val="20"/>
        </w:rPr>
      </w:pPr>
    </w:p>
    <w:p w14:paraId="5D3E2DA5" w14:textId="77777777" w:rsidR="00EB7FCE" w:rsidRDefault="00EB7FCE">
      <w:pPr>
        <w:pStyle w:val="BodyText"/>
        <w:rPr>
          <w:b w:val="0"/>
          <w:sz w:val="20"/>
        </w:rPr>
      </w:pPr>
    </w:p>
    <w:p w14:paraId="3569F074" w14:textId="77777777" w:rsidR="00EB7FCE" w:rsidRDefault="00EB7FCE">
      <w:pPr>
        <w:pStyle w:val="BodyText"/>
        <w:rPr>
          <w:b w:val="0"/>
          <w:sz w:val="20"/>
        </w:rPr>
      </w:pPr>
    </w:p>
    <w:p w14:paraId="3C3A5FFE" w14:textId="77777777" w:rsidR="00EB7FCE" w:rsidRDefault="00EB7FCE">
      <w:pPr>
        <w:pStyle w:val="BodyText"/>
        <w:spacing w:before="8"/>
        <w:rPr>
          <w:b w:val="0"/>
          <w:sz w:val="23"/>
        </w:rPr>
      </w:pPr>
    </w:p>
    <w:sectPr w:rsidR="00EB7FCE" w:rsidSect="009E176E">
      <w:headerReference w:type="default" r:id="rId10"/>
      <w:footerReference w:type="default" r:id="rId11"/>
      <w:type w:val="continuous"/>
      <w:pgSz w:w="11910" w:h="16840"/>
      <w:pgMar w:top="720"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A2B" w14:textId="7E0AB707" w:rsidR="009E176E" w:rsidRPr="00C67993" w:rsidRDefault="009E176E" w:rsidP="009E176E">
    <w:pPr>
      <w:pStyle w:val="Header"/>
      <w:rPr>
        <w:rFonts w:asciiTheme="minorHAnsi" w:hAnsiTheme="minorHAnsi" w:cstheme="minorHAnsi"/>
        <w:sz w:val="32"/>
        <w:szCs w:val="32"/>
      </w:rPr>
    </w:pPr>
    <w:r w:rsidRPr="00C67993">
      <w:rPr>
        <w:rFonts w:asciiTheme="minorHAnsi" w:hAnsiTheme="minorHAnsi" w:cstheme="minorHAnsi"/>
        <w:sz w:val="32"/>
        <w:szCs w:val="32"/>
      </w:rPr>
      <w:t xml:space="preserve">Компас Фонд за </w:t>
    </w:r>
    <w:r w:rsidR="00C67993" w:rsidRPr="00C67993">
      <w:rPr>
        <w:rFonts w:asciiTheme="minorHAnsi" w:hAnsiTheme="minorHAnsi" w:cstheme="minorHAnsi"/>
        <w:sz w:val="32"/>
        <w:szCs w:val="32"/>
      </w:rPr>
      <w:t>В</w:t>
    </w:r>
    <w:r w:rsidRPr="00C67993">
      <w:rPr>
        <w:rFonts w:asciiTheme="minorHAnsi" w:hAnsiTheme="minorHAnsi" w:cstheme="minorHAnsi"/>
        <w:sz w:val="32"/>
        <w:szCs w:val="32"/>
      </w:rPr>
      <w:t>земания АДСИЦ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1A1F"/>
    <w:multiLevelType w:val="hybridMultilevel"/>
    <w:tmpl w:val="B7F8172A"/>
    <w:lvl w:ilvl="0" w:tplc="8EC6B65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36E60"/>
    <w:multiLevelType w:val="hybridMultilevel"/>
    <w:tmpl w:val="A7A4E4B4"/>
    <w:lvl w:ilvl="0" w:tplc="48C62854">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C1019"/>
    <w:multiLevelType w:val="hybridMultilevel"/>
    <w:tmpl w:val="DCD0C522"/>
    <w:lvl w:ilvl="0" w:tplc="873C7004">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985784">
    <w:abstractNumId w:val="2"/>
  </w:num>
  <w:num w:numId="2" w16cid:durableId="1471753887">
    <w:abstractNumId w:val="0"/>
  </w:num>
  <w:num w:numId="3" w16cid:durableId="209697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56A73"/>
    <w:rsid w:val="000744F2"/>
    <w:rsid w:val="001475A3"/>
    <w:rsid w:val="001B5BE3"/>
    <w:rsid w:val="00206487"/>
    <w:rsid w:val="00344477"/>
    <w:rsid w:val="0043469C"/>
    <w:rsid w:val="00441C7A"/>
    <w:rsid w:val="0055051E"/>
    <w:rsid w:val="005D63A0"/>
    <w:rsid w:val="005F67CF"/>
    <w:rsid w:val="007613F2"/>
    <w:rsid w:val="0078026A"/>
    <w:rsid w:val="007C3EDF"/>
    <w:rsid w:val="00894DE8"/>
    <w:rsid w:val="008A700F"/>
    <w:rsid w:val="008B4F33"/>
    <w:rsid w:val="008D304F"/>
    <w:rsid w:val="00914352"/>
    <w:rsid w:val="009814C7"/>
    <w:rsid w:val="009E176E"/>
    <w:rsid w:val="00B308E4"/>
    <w:rsid w:val="00B6167F"/>
    <w:rsid w:val="00C67993"/>
    <w:rsid w:val="00CB6221"/>
    <w:rsid w:val="00D167E2"/>
    <w:rsid w:val="00E267F6"/>
    <w:rsid w:val="00EB7FCE"/>
    <w:rsid w:val="00ED3CF2"/>
    <w:rsid w:val="00F1290C"/>
    <w:rsid w:val="00F277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3new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ss-receivabl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9</cp:revision>
  <dcterms:created xsi:type="dcterms:W3CDTF">2022-01-25T15:21:00Z</dcterms:created>
  <dcterms:modified xsi:type="dcterms:W3CDTF">2023-01-26T12:42:00Z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